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FC6CD6" w:rsidR="00FC6CD6" w:rsidP="6805F99C" w:rsidRDefault="00FC6CD6" w14:paraId="180C1F1F" w14:textId="0B939428">
      <w:pPr>
        <w:pStyle w:val="Heading1"/>
        <w:rPr>
          <w:b w:val="1"/>
          <w:bCs w:val="1"/>
          <w:u w:val="none"/>
          <w:lang w:val="en-ZA"/>
        </w:rPr>
      </w:pPr>
      <w:hyperlink r:id="R6c074cb49f4b43e2">
        <w:r w:rsidRPr="6805F99C" w:rsidR="5E5F1756">
          <w:rPr>
            <w:rStyle w:val="Hyperlink"/>
            <w:b w:val="1"/>
            <w:bCs w:val="1"/>
            <w:u w:val="none"/>
            <w:lang w:val="en-ZA"/>
          </w:rPr>
          <w:t>W</w:t>
        </w:r>
        <w:r w:rsidRPr="6805F99C" w:rsidR="00FC6CD6">
          <w:rPr>
            <w:rStyle w:val="Hyperlink"/>
            <w:b w:val="1"/>
            <w:bCs w:val="1"/>
            <w:u w:val="none"/>
            <w:lang w:val="en-ZA"/>
          </w:rPr>
          <w:t>aste management contributes to climate protection</w:t>
        </w:r>
      </w:hyperlink>
    </w:p>
    <w:p w:rsidR="6805F99C" w:rsidP="6805F99C" w:rsidRDefault="6805F99C" w14:paraId="346CB351" w14:textId="6D337C6F">
      <w:pPr>
        <w:pStyle w:val="Heading1"/>
        <w:rPr>
          <w:b w:val="1"/>
          <w:bCs w:val="1"/>
          <w:u w:val="single"/>
          <w:lang w:val="en-ZA"/>
        </w:rPr>
      </w:pPr>
    </w:p>
    <w:p w:rsidR="2448EEB4" w:rsidP="6805F99C" w:rsidRDefault="2448EEB4" w14:paraId="74A1E62D" w14:textId="5584E883">
      <w:pPr>
        <w:pStyle w:val="Normal"/>
        <w:rPr>
          <w:rFonts w:ascii="Calibri" w:hAnsi="Calibri" w:eastAsia="Calibri" w:cs="Calibri"/>
          <w:b w:val="0"/>
          <w:bCs w:val="0"/>
          <w:i w:val="0"/>
          <w:iCs w:val="0"/>
          <w:caps w:val="0"/>
          <w:smallCaps w:val="0"/>
          <w:color w:val="4C4C4C"/>
          <w:sz w:val="24"/>
          <w:szCs w:val="24"/>
          <w:lang w:val="en-ZA"/>
        </w:rPr>
      </w:pPr>
      <w:r w:rsidRPr="6805F99C" w:rsidR="2448EEB4">
        <w:rPr>
          <w:rFonts w:ascii="Calibri" w:hAnsi="Calibri" w:eastAsia="Calibri" w:cs="Calibri"/>
          <w:b w:val="0"/>
          <w:bCs w:val="0"/>
          <w:i w:val="0"/>
          <w:iCs w:val="0"/>
          <w:caps w:val="0"/>
          <w:smallCaps w:val="0"/>
          <w:color w:val="4C4C4C"/>
          <w:sz w:val="24"/>
          <w:szCs w:val="24"/>
          <w:lang w:val="en-ZA"/>
        </w:rPr>
        <w:t>06 July 2021</w:t>
      </w:r>
    </w:p>
    <w:p w:rsidR="6805F99C" w:rsidP="6805F99C" w:rsidRDefault="6805F99C" w14:paraId="2C3DF578" w14:textId="5978B621">
      <w:pPr>
        <w:pStyle w:val="Normal"/>
        <w:rPr>
          <w:rFonts w:ascii="Calibri" w:hAnsi="Calibri" w:eastAsia="Calibri" w:cs="Calibri"/>
          <w:b w:val="0"/>
          <w:bCs w:val="0"/>
          <w:i w:val="0"/>
          <w:iCs w:val="0"/>
          <w:caps w:val="0"/>
          <w:smallCaps w:val="0"/>
          <w:color w:val="4C4C4C"/>
          <w:sz w:val="24"/>
          <w:szCs w:val="24"/>
          <w:lang w:val="en-ZA"/>
        </w:rPr>
      </w:pPr>
    </w:p>
    <w:p w:rsidR="58EC4632" w:rsidP="6805F99C" w:rsidRDefault="58EC4632" w14:paraId="70D301D4" w14:textId="16190D0D">
      <w:pPr>
        <w:spacing w:before="0" w:beforeAutospacing="off"/>
      </w:pPr>
      <w:r w:rsidRPr="6805F99C" w:rsidR="58EC4632">
        <w:rPr>
          <w:rFonts w:ascii="Calibri" w:hAnsi="Calibri" w:eastAsia="Calibri" w:cs="Calibri"/>
          <w:b w:val="0"/>
          <w:bCs w:val="0"/>
          <w:i w:val="0"/>
          <w:iCs w:val="0"/>
          <w:caps w:val="0"/>
          <w:smallCaps w:val="0"/>
          <w:noProof w:val="0"/>
          <w:color w:val="4C4C4C"/>
          <w:sz w:val="24"/>
          <w:szCs w:val="24"/>
          <w:lang w:val="en-ZA"/>
        </w:rPr>
        <w:t>The United Nations Sustainable Development Goals (SDGs) of 2016 have been concretized by the European Commission into framework legislation for more sustainability and climate protection in the member states. As an innovation leader, TOMRA aims to help achieve the goals and take waste management to another level.</w:t>
      </w:r>
    </w:p>
    <w:p w:rsidR="58EC4632" w:rsidP="6805F99C" w:rsidRDefault="58EC4632" w14:paraId="7D7A7258" w14:textId="2FE656A2">
      <w:pPr>
        <w:spacing w:before="0" w:beforeAutospacing="off"/>
      </w:pPr>
      <w:r w:rsidRPr="6805F99C" w:rsidR="58EC4632">
        <w:rPr>
          <w:rFonts w:ascii="Calibri" w:hAnsi="Calibri" w:eastAsia="Calibri" w:cs="Calibri"/>
          <w:b w:val="0"/>
          <w:bCs w:val="0"/>
          <w:i w:val="0"/>
          <w:iCs w:val="0"/>
          <w:caps w:val="0"/>
          <w:smallCaps w:val="0"/>
          <w:noProof w:val="0"/>
          <w:color w:val="4C4C4C"/>
          <w:sz w:val="24"/>
          <w:szCs w:val="24"/>
          <w:lang w:val="en-ZA"/>
        </w:rPr>
        <w:t>A new study commissioned by TOMRA and conducted by EUNOMIA demonstrates the potential for an optimized waste management system as regards climate change. Overall, a reduction of 2.76 billion tonnes of CO2/year is possible.</w:t>
      </w:r>
    </w:p>
    <w:p w:rsidR="58EC4632" w:rsidP="6805F99C" w:rsidRDefault="58EC4632" w14:paraId="7A20ED6A" w14:textId="3C0BF1C7">
      <w:pPr>
        <w:spacing w:before="0" w:beforeAutospacing="off"/>
      </w:pPr>
      <w:r w:rsidRPr="6805F99C" w:rsidR="58EC4632">
        <w:rPr>
          <w:rFonts w:ascii="Calibri" w:hAnsi="Calibri" w:eastAsia="Calibri" w:cs="Calibri"/>
          <w:b w:val="0"/>
          <w:bCs w:val="0"/>
          <w:i w:val="0"/>
          <w:iCs w:val="0"/>
          <w:caps w:val="0"/>
          <w:smallCaps w:val="0"/>
          <w:noProof w:val="0"/>
          <w:color w:val="4C4C4C"/>
          <w:sz w:val="24"/>
          <w:szCs w:val="24"/>
          <w:lang w:val="en-ZA"/>
        </w:rPr>
        <w:t>This reduction can be achieved using Holistic Resource Systems – the optimized combination of key waste management practices for collection, sorting and recycling to facilitate the transition towards a circular economy, which is preventing resource depletion, reducing littering and contributing to a carbon neutral world.</w:t>
      </w:r>
    </w:p>
    <w:p w:rsidR="58EC4632" w:rsidP="6805F99C" w:rsidRDefault="58EC4632" w14:paraId="08F9FBE6" w14:textId="68872466">
      <w:pPr>
        <w:spacing w:before="0" w:beforeAutospacing="off"/>
      </w:pPr>
      <w:r w:rsidRPr="6805F99C" w:rsidR="58EC4632">
        <w:rPr>
          <w:rFonts w:ascii="Calibri" w:hAnsi="Calibri" w:eastAsia="Calibri" w:cs="Calibri"/>
          <w:b w:val="0"/>
          <w:bCs w:val="0"/>
          <w:i w:val="0"/>
          <w:iCs w:val="0"/>
          <w:caps w:val="0"/>
          <w:smallCaps w:val="0"/>
          <w:noProof w:val="0"/>
          <w:color w:val="4C4C4C"/>
          <w:sz w:val="24"/>
          <w:szCs w:val="24"/>
          <w:lang w:val="en-ZA"/>
        </w:rPr>
        <w:t>Holistic resource systems are an ideal combination of political framework regulations, such as extended producer responsibility, deposit return schemes, and technical processes for waste handling. London-based consultancy for sustainability Eunomia, has examined various models to identify the most efficient, cost-effective scenario for a holistic system.</w:t>
      </w:r>
    </w:p>
    <w:p w:rsidR="58EC4632" w:rsidP="6805F99C" w:rsidRDefault="58EC4632" w14:paraId="15431ED8" w14:textId="1B427ECD">
      <w:pPr>
        <w:spacing w:before="0" w:beforeAutospacing="off"/>
      </w:pPr>
      <w:r w:rsidRPr="6805F99C" w:rsidR="58EC4632">
        <w:rPr>
          <w:rFonts w:ascii="Calibri" w:hAnsi="Calibri" w:eastAsia="Calibri" w:cs="Calibri"/>
          <w:b w:val="0"/>
          <w:bCs w:val="0"/>
          <w:i w:val="0"/>
          <w:iCs w:val="0"/>
          <w:caps w:val="0"/>
          <w:smallCaps w:val="0"/>
          <w:noProof w:val="0"/>
          <w:color w:val="4C4C4C"/>
          <w:sz w:val="24"/>
          <w:szCs w:val="24"/>
          <w:lang w:val="en-ZA"/>
        </w:rPr>
        <w:t>The outcome is clear – deposit return systems for PET bottles and metal beverage containers, which deliver a return rate of over 90%, should play a central role in such a system. As regards remaining household waste, only biowaste, paper, textiles, and electrical and electronic equipment should be collected separately. The rest should remain in a mixed waste stream which can be most efficiently separated into reusable materials for further recycling.</w:t>
      </w:r>
    </w:p>
    <w:p w:rsidR="58EC4632" w:rsidP="6805F99C" w:rsidRDefault="58EC4632" w14:paraId="3961ECC5" w14:textId="63AE1661">
      <w:pPr>
        <w:spacing w:before="0" w:beforeAutospacing="off" w:after="0" w:afterAutospacing="off"/>
      </w:pPr>
      <w:r w:rsidRPr="6805F99C" w:rsidR="58EC4632">
        <w:rPr>
          <w:rFonts w:ascii="Calibri" w:hAnsi="Calibri" w:eastAsia="Calibri" w:cs="Calibri"/>
          <w:b w:val="0"/>
          <w:bCs w:val="0"/>
          <w:i w:val="0"/>
          <w:iCs w:val="0"/>
          <w:caps w:val="0"/>
          <w:smallCaps w:val="0"/>
          <w:noProof w:val="0"/>
          <w:color w:val="4C4C4C"/>
          <w:sz w:val="24"/>
          <w:szCs w:val="24"/>
          <w:lang w:val="en-ZA"/>
        </w:rPr>
        <w:t>This will enable regionally customized holistic models to cut global CO2 emissions by up to 5% - the equivalent of grounding all commercial flights globally and taking 65% of cars off the road.</w:t>
      </w:r>
    </w:p>
    <w:p w:rsidR="6805F99C" w:rsidP="6805F99C" w:rsidRDefault="6805F99C" w14:paraId="0DE9E659" w14:textId="1C565A0C">
      <w:pPr>
        <w:pStyle w:val="Normal"/>
        <w:spacing w:before="0" w:beforeAutospacing="off" w:after="0" w:afterAutospacing="off"/>
        <w:rPr>
          <w:rFonts w:ascii="Calibri" w:hAnsi="Calibri" w:eastAsia="Calibri" w:cs="Calibri"/>
          <w:b w:val="0"/>
          <w:bCs w:val="0"/>
          <w:i w:val="1"/>
          <w:iCs w:val="1"/>
          <w:caps w:val="0"/>
          <w:smallCaps w:val="0"/>
          <w:noProof w:val="0"/>
          <w:color w:val="4C4C4C"/>
          <w:sz w:val="24"/>
          <w:szCs w:val="24"/>
          <w:lang w:val="en-ZA"/>
        </w:rPr>
      </w:pPr>
    </w:p>
    <w:p w:rsidR="58EC4632" w:rsidP="6805F99C" w:rsidRDefault="58EC4632" w14:paraId="7272058F" w14:textId="5C505CB8">
      <w:pPr>
        <w:spacing w:before="0" w:beforeAutospacing="off" w:after="0" w:afterAutospacing="off"/>
        <w:rPr>
          <w:rFonts w:ascii="Calibri" w:hAnsi="Calibri" w:eastAsia="Calibri" w:cs="Calibri"/>
          <w:b w:val="0"/>
          <w:bCs w:val="0"/>
          <w:i w:val="1"/>
          <w:iCs w:val="1"/>
          <w:caps w:val="0"/>
          <w:smallCaps w:val="0"/>
          <w:noProof w:val="0"/>
          <w:color w:val="4C4C4C"/>
          <w:sz w:val="24"/>
          <w:szCs w:val="24"/>
          <w:lang w:val="en-ZA"/>
        </w:rPr>
      </w:pPr>
      <w:r w:rsidRPr="6805F99C" w:rsidR="58EC4632">
        <w:rPr>
          <w:rFonts w:ascii="Calibri" w:hAnsi="Calibri" w:eastAsia="Calibri" w:cs="Calibri"/>
          <w:b w:val="0"/>
          <w:bCs w:val="0"/>
          <w:i w:val="1"/>
          <w:iCs w:val="1"/>
          <w:caps w:val="0"/>
          <w:smallCaps w:val="0"/>
          <w:noProof w:val="0"/>
          <w:color w:val="4C4C4C"/>
          <w:sz w:val="24"/>
          <w:szCs w:val="24"/>
          <w:lang w:val="en-ZA"/>
        </w:rPr>
        <w:t xml:space="preserve">“Now is the time for real action to ensure societies stop wasting resources with all the related negative consequences. In many places the pandemic helped to meet Paris Climate Agreement goals, but even </w:t>
      </w:r>
      <w:r w:rsidRPr="6805F99C" w:rsidR="58EC4632">
        <w:rPr>
          <w:rFonts w:ascii="Calibri" w:hAnsi="Calibri" w:eastAsia="Calibri" w:cs="Calibri"/>
          <w:b w:val="0"/>
          <w:bCs w:val="0"/>
          <w:i w:val="1"/>
          <w:iCs w:val="1"/>
          <w:caps w:val="0"/>
          <w:smallCaps w:val="0"/>
          <w:noProof w:val="0"/>
          <w:color w:val="4C4C4C"/>
          <w:sz w:val="24"/>
          <w:szCs w:val="24"/>
          <w:lang w:val="en-ZA"/>
        </w:rPr>
        <w:t>maintaining</w:t>
      </w:r>
      <w:r w:rsidRPr="6805F99C" w:rsidR="58EC4632">
        <w:rPr>
          <w:rFonts w:ascii="Calibri" w:hAnsi="Calibri" w:eastAsia="Calibri" w:cs="Calibri"/>
          <w:b w:val="0"/>
          <w:bCs w:val="0"/>
          <w:i w:val="1"/>
          <w:iCs w:val="1"/>
          <w:caps w:val="0"/>
          <w:smallCaps w:val="0"/>
          <w:noProof w:val="0"/>
          <w:color w:val="4C4C4C"/>
          <w:sz w:val="24"/>
          <w:szCs w:val="24"/>
          <w:lang w:val="en-ZA"/>
        </w:rPr>
        <w:t xml:space="preserve"> this level will require determined and consistent implementation, including holistic systems, to close the loops.” </w:t>
      </w:r>
      <w:r w:rsidRPr="6805F99C" w:rsidR="58EC4632">
        <w:rPr>
          <w:rFonts w:ascii="Calibri" w:hAnsi="Calibri" w:eastAsia="Calibri" w:cs="Calibri"/>
          <w:b w:val="0"/>
          <w:bCs w:val="0"/>
          <w:i w:val="0"/>
          <w:iCs w:val="0"/>
          <w:caps w:val="0"/>
          <w:smallCaps w:val="0"/>
          <w:noProof w:val="0"/>
          <w:color w:val="007CAD"/>
          <w:sz w:val="24"/>
          <w:szCs w:val="24"/>
          <w:lang w:val="en-ZA"/>
        </w:rPr>
        <w:t xml:space="preserve">- </w:t>
      </w:r>
      <w:r w:rsidRPr="6805F99C" w:rsidR="58EC4632">
        <w:rPr>
          <w:rFonts w:ascii="Calibri" w:hAnsi="Calibri" w:eastAsia="Calibri" w:cs="Calibri"/>
          <w:b w:val="0"/>
          <w:bCs w:val="0"/>
          <w:i w:val="0"/>
          <w:iCs w:val="0"/>
          <w:caps w:val="0"/>
          <w:smallCaps w:val="0"/>
          <w:noProof w:val="0"/>
          <w:color w:val="4C4C4C"/>
          <w:sz w:val="24"/>
          <w:szCs w:val="24"/>
          <w:lang w:val="en-ZA"/>
        </w:rPr>
        <w:t xml:space="preserve">Volker </w:t>
      </w:r>
      <w:r w:rsidRPr="6805F99C" w:rsidR="58EC4632">
        <w:rPr>
          <w:rFonts w:ascii="Calibri" w:hAnsi="Calibri" w:eastAsia="Calibri" w:cs="Calibri"/>
          <w:b w:val="0"/>
          <w:bCs w:val="0"/>
          <w:i w:val="0"/>
          <w:iCs w:val="0"/>
          <w:caps w:val="0"/>
          <w:smallCaps w:val="0"/>
          <w:noProof w:val="0"/>
          <w:color w:val="4C4C4C"/>
          <w:sz w:val="24"/>
          <w:szCs w:val="24"/>
          <w:lang w:val="en-ZA"/>
        </w:rPr>
        <w:t>Rehrmann</w:t>
      </w:r>
      <w:r w:rsidRPr="6805F99C" w:rsidR="1E668A72">
        <w:rPr>
          <w:rFonts w:ascii="Calibri" w:hAnsi="Calibri" w:eastAsia="Calibri" w:cs="Calibri"/>
          <w:b w:val="0"/>
          <w:bCs w:val="0"/>
          <w:i w:val="0"/>
          <w:iCs w:val="0"/>
          <w:caps w:val="0"/>
          <w:smallCaps w:val="0"/>
          <w:noProof w:val="0"/>
          <w:color w:val="4C4C4C"/>
          <w:sz w:val="24"/>
          <w:szCs w:val="24"/>
          <w:lang w:val="en-ZA"/>
        </w:rPr>
        <w:t xml:space="preserve">, </w:t>
      </w:r>
      <w:r w:rsidRPr="6805F99C" w:rsidR="58EC4632">
        <w:rPr>
          <w:rFonts w:ascii="Calibri" w:hAnsi="Calibri" w:eastAsia="Calibri" w:cs="Calibri"/>
          <w:b w:val="0"/>
          <w:bCs w:val="0"/>
          <w:i w:val="0"/>
          <w:iCs w:val="0"/>
          <w:caps w:val="0"/>
          <w:smallCaps w:val="0"/>
          <w:noProof w:val="0"/>
          <w:color w:val="4C4C4C"/>
          <w:sz w:val="24"/>
          <w:szCs w:val="24"/>
          <w:lang w:val="en-ZA"/>
        </w:rPr>
        <w:t>Executive</w:t>
      </w:r>
      <w:r w:rsidRPr="6805F99C" w:rsidR="58EC4632">
        <w:rPr>
          <w:rFonts w:ascii="Calibri" w:hAnsi="Calibri" w:eastAsia="Calibri" w:cs="Calibri"/>
          <w:b w:val="0"/>
          <w:bCs w:val="0"/>
          <w:i w:val="0"/>
          <w:iCs w:val="0"/>
          <w:caps w:val="0"/>
          <w:smallCaps w:val="0"/>
          <w:noProof w:val="0"/>
          <w:color w:val="4C4C4C"/>
          <w:sz w:val="24"/>
          <w:szCs w:val="24"/>
          <w:lang w:val="en-ZA"/>
        </w:rPr>
        <w:t xml:space="preserve"> Vice President and Head of TOMRA Recycling/Mining</w:t>
      </w:r>
    </w:p>
    <w:p w:rsidR="6805F99C" w:rsidP="6805F99C" w:rsidRDefault="6805F99C" w14:paraId="72F8ACAA" w14:textId="40EF3B8B">
      <w:pPr>
        <w:pStyle w:val="Normal"/>
        <w:spacing w:before="0" w:beforeAutospacing="off" w:after="0" w:afterAutospacing="off"/>
        <w:rPr>
          <w:rFonts w:ascii="Calibri" w:hAnsi="Calibri" w:eastAsia="Calibri" w:cs="Calibri"/>
          <w:b w:val="0"/>
          <w:bCs w:val="0"/>
          <w:i w:val="1"/>
          <w:iCs w:val="1"/>
          <w:caps w:val="0"/>
          <w:smallCaps w:val="0"/>
          <w:noProof w:val="0"/>
          <w:color w:val="4C4C4C"/>
          <w:sz w:val="24"/>
          <w:szCs w:val="24"/>
          <w:lang w:val="en-ZA"/>
        </w:rPr>
      </w:pPr>
    </w:p>
    <w:p w:rsidR="58EC4632" w:rsidP="6805F99C" w:rsidRDefault="58EC4632" w14:paraId="6943FE1B" w14:textId="07FEFA9C">
      <w:pPr>
        <w:pStyle w:val="Heading3"/>
      </w:pPr>
      <w:r w:rsidRPr="6805F99C" w:rsidR="58EC4632">
        <w:rPr>
          <w:rFonts w:ascii="Calibri" w:hAnsi="Calibri" w:eastAsia="Calibri" w:cs="Calibri"/>
          <w:b w:val="1"/>
          <w:bCs w:val="1"/>
          <w:i w:val="0"/>
          <w:iCs w:val="0"/>
          <w:caps w:val="0"/>
          <w:smallCaps w:val="0"/>
          <w:noProof w:val="0"/>
          <w:color w:val="007CAD"/>
          <w:sz w:val="24"/>
          <w:szCs w:val="24"/>
          <w:lang w:val="en-ZA"/>
        </w:rPr>
        <w:t>The three elements of holistic waste management are:</w:t>
      </w:r>
    </w:p>
    <w:p w:rsidR="6805F99C" w:rsidP="6805F99C" w:rsidRDefault="6805F99C" w14:paraId="6364AD83" w14:textId="06CD5C6D">
      <w:pPr>
        <w:pStyle w:val="Normal"/>
        <w:rPr>
          <w:noProof w:val="0"/>
          <w:lang w:val="en-ZA"/>
        </w:rPr>
      </w:pPr>
    </w:p>
    <w:p w:rsidR="58EC4632" w:rsidP="6805F99C" w:rsidRDefault="58EC4632" w14:paraId="22196875" w14:textId="4AC3DF60">
      <w:pPr>
        <w:pStyle w:val="ListParagraph"/>
        <w:numPr>
          <w:ilvl w:val="0"/>
          <w:numId w:val="2"/>
        </w:numPr>
        <w:spacing w:before="0" w:beforeAutospacing="off"/>
        <w:rPr>
          <w:rFonts w:ascii="Calibri" w:hAnsi="Calibri" w:eastAsia="Calibri" w:cs="Calibri"/>
          <w:b w:val="0"/>
          <w:bCs w:val="0"/>
          <w:i w:val="0"/>
          <w:iCs w:val="0"/>
          <w:caps w:val="0"/>
          <w:smallCaps w:val="0"/>
          <w:noProof w:val="0"/>
          <w:color w:val="4C4C4C"/>
          <w:sz w:val="24"/>
          <w:szCs w:val="24"/>
          <w:lang w:val="en-ZA"/>
        </w:rPr>
      </w:pPr>
      <w:r w:rsidRPr="6805F99C" w:rsidR="58EC4632">
        <w:rPr>
          <w:rFonts w:ascii="Calibri" w:hAnsi="Calibri" w:eastAsia="Calibri" w:cs="Calibri"/>
          <w:b w:val="1"/>
          <w:bCs w:val="1"/>
          <w:i w:val="0"/>
          <w:iCs w:val="0"/>
          <w:caps w:val="0"/>
          <w:smallCaps w:val="0"/>
          <w:noProof w:val="0"/>
          <w:color w:val="4C4C4C"/>
          <w:sz w:val="24"/>
          <w:szCs w:val="24"/>
          <w:lang w:val="en-ZA"/>
        </w:rPr>
        <w:t>Deposit return schemes (DRS)</w:t>
      </w:r>
      <w:r w:rsidRPr="6805F99C" w:rsidR="58EC4632">
        <w:rPr>
          <w:rFonts w:ascii="Calibri" w:hAnsi="Calibri" w:eastAsia="Calibri" w:cs="Calibri"/>
          <w:b w:val="1"/>
          <w:bCs w:val="1"/>
          <w:i w:val="0"/>
          <w:iCs w:val="0"/>
          <w:caps w:val="0"/>
          <w:smallCaps w:val="0"/>
          <w:noProof w:val="0"/>
          <w:color w:val="4C4C4C"/>
          <w:sz w:val="24"/>
          <w:szCs w:val="24"/>
          <w:lang w:val="en-ZA"/>
        </w:rPr>
        <w:t xml:space="preserve"> </w:t>
      </w:r>
      <w:r w:rsidRPr="6805F99C" w:rsidR="58EC4632">
        <w:rPr>
          <w:rFonts w:ascii="Calibri" w:hAnsi="Calibri" w:eastAsia="Calibri" w:cs="Calibri"/>
          <w:b w:val="1"/>
          <w:bCs w:val="1"/>
          <w:i w:val="0"/>
          <w:iCs w:val="0"/>
          <w:caps w:val="0"/>
          <w:smallCaps w:val="0"/>
          <w:noProof w:val="0"/>
          <w:color w:val="4C4C4C"/>
          <w:sz w:val="24"/>
          <w:szCs w:val="24"/>
          <w:lang w:val="en-ZA"/>
        </w:rPr>
        <w:t>for PET and metal beverage containers</w:t>
      </w:r>
      <w:r w:rsidRPr="6805F99C" w:rsidR="58EC4632">
        <w:rPr>
          <w:rFonts w:ascii="Calibri" w:hAnsi="Calibri" w:eastAsia="Calibri" w:cs="Calibri"/>
          <w:b w:val="0"/>
          <w:bCs w:val="0"/>
          <w:i w:val="0"/>
          <w:iCs w:val="0"/>
          <w:caps w:val="0"/>
          <w:smallCaps w:val="0"/>
          <w:noProof w:val="0"/>
          <w:color w:val="4C4C4C"/>
          <w:sz w:val="24"/>
          <w:szCs w:val="24"/>
          <w:lang w:val="en-ZA"/>
        </w:rPr>
        <w:t xml:space="preserve"> – With a return rate of more than 90% they maximize captures of high quality, high carbon-intensity material while reducing litter.</w:t>
      </w:r>
    </w:p>
    <w:p w:rsidR="58EC4632" w:rsidP="6805F99C" w:rsidRDefault="58EC4632" w14:paraId="1F39355B" w14:textId="5B7AA4A8">
      <w:pPr>
        <w:pStyle w:val="ListParagraph"/>
        <w:numPr>
          <w:ilvl w:val="0"/>
          <w:numId w:val="2"/>
        </w:numPr>
        <w:spacing w:before="0" w:beforeAutospacing="off"/>
        <w:rPr>
          <w:rFonts w:ascii="Calibri" w:hAnsi="Calibri" w:eastAsia="Calibri" w:cs="Calibri"/>
          <w:b w:val="0"/>
          <w:bCs w:val="0"/>
          <w:i w:val="0"/>
          <w:iCs w:val="0"/>
          <w:caps w:val="0"/>
          <w:smallCaps w:val="0"/>
          <w:noProof w:val="0"/>
          <w:color w:val="4C4C4C"/>
          <w:sz w:val="24"/>
          <w:szCs w:val="24"/>
          <w:lang w:val="en-ZA"/>
        </w:rPr>
      </w:pPr>
      <w:r w:rsidRPr="6805F99C" w:rsidR="58EC4632">
        <w:rPr>
          <w:rFonts w:ascii="Calibri" w:hAnsi="Calibri" w:eastAsia="Calibri" w:cs="Calibri"/>
          <w:b w:val="1"/>
          <w:bCs w:val="1"/>
          <w:i w:val="0"/>
          <w:iCs w:val="0"/>
          <w:caps w:val="0"/>
          <w:smallCaps w:val="0"/>
          <w:noProof w:val="0"/>
          <w:color w:val="4C4C4C"/>
          <w:sz w:val="24"/>
          <w:szCs w:val="24"/>
          <w:lang w:val="en-ZA"/>
        </w:rPr>
        <w:t>Separate collections</w:t>
      </w:r>
      <w:r w:rsidRPr="6805F99C" w:rsidR="58EC4632">
        <w:rPr>
          <w:rFonts w:ascii="Calibri" w:hAnsi="Calibri" w:eastAsia="Calibri" w:cs="Calibri"/>
          <w:b w:val="1"/>
          <w:bCs w:val="1"/>
          <w:i w:val="0"/>
          <w:iCs w:val="0"/>
          <w:caps w:val="0"/>
          <w:smallCaps w:val="0"/>
          <w:noProof w:val="0"/>
          <w:color w:val="4C4C4C"/>
          <w:sz w:val="24"/>
          <w:szCs w:val="24"/>
          <w:lang w:val="en-ZA"/>
        </w:rPr>
        <w:t xml:space="preserve"> </w:t>
      </w:r>
      <w:r w:rsidRPr="6805F99C" w:rsidR="58EC4632">
        <w:rPr>
          <w:rFonts w:ascii="Calibri" w:hAnsi="Calibri" w:eastAsia="Calibri" w:cs="Calibri"/>
          <w:b w:val="1"/>
          <w:bCs w:val="1"/>
          <w:i w:val="0"/>
          <w:iCs w:val="0"/>
          <w:caps w:val="0"/>
          <w:smallCaps w:val="0"/>
          <w:noProof w:val="0"/>
          <w:color w:val="4C4C4C"/>
          <w:sz w:val="24"/>
          <w:szCs w:val="24"/>
          <w:lang w:val="en-ZA"/>
        </w:rPr>
        <w:t xml:space="preserve">of biowaste, paper, </w:t>
      </w:r>
      <w:r w:rsidRPr="6805F99C" w:rsidR="58EC4632">
        <w:rPr>
          <w:rFonts w:ascii="Calibri" w:hAnsi="Calibri" w:eastAsia="Calibri" w:cs="Calibri"/>
          <w:b w:val="1"/>
          <w:bCs w:val="1"/>
          <w:i w:val="0"/>
          <w:iCs w:val="0"/>
          <w:caps w:val="0"/>
          <w:smallCaps w:val="0"/>
          <w:noProof w:val="0"/>
          <w:color w:val="4C4C4C"/>
          <w:sz w:val="24"/>
          <w:szCs w:val="24"/>
          <w:lang w:val="en-ZA"/>
        </w:rPr>
        <w:t>textiles</w:t>
      </w:r>
      <w:r w:rsidRPr="6805F99C" w:rsidR="58EC4632">
        <w:rPr>
          <w:rFonts w:ascii="Calibri" w:hAnsi="Calibri" w:eastAsia="Calibri" w:cs="Calibri"/>
          <w:b w:val="1"/>
          <w:bCs w:val="1"/>
          <w:i w:val="0"/>
          <w:iCs w:val="0"/>
          <w:caps w:val="0"/>
          <w:smallCaps w:val="0"/>
          <w:noProof w:val="0"/>
          <w:color w:val="4C4C4C"/>
          <w:sz w:val="24"/>
          <w:szCs w:val="24"/>
          <w:lang w:val="en-ZA"/>
        </w:rPr>
        <w:t xml:space="preserve"> and electrical and electronic equipment (WEEE)</w:t>
      </w:r>
      <w:r w:rsidRPr="6805F99C" w:rsidR="58EC4632">
        <w:rPr>
          <w:rFonts w:ascii="Calibri" w:hAnsi="Calibri" w:eastAsia="Calibri" w:cs="Calibri"/>
          <w:b w:val="0"/>
          <w:bCs w:val="0"/>
          <w:i w:val="0"/>
          <w:iCs w:val="0"/>
          <w:caps w:val="0"/>
          <w:smallCaps w:val="0"/>
          <w:noProof w:val="0"/>
          <w:color w:val="4C4C4C"/>
          <w:sz w:val="24"/>
          <w:szCs w:val="24"/>
          <w:lang w:val="en-ZA"/>
        </w:rPr>
        <w:t xml:space="preserve"> – Enable these materials to be recycled for the greatest carbon benefit. Although separate collections are an intrinsic part of holistic resources, the capture rates in even best practices are not good enough. Further sorting of the residual waste fraction will always be necessary.</w:t>
      </w:r>
    </w:p>
    <w:p w:rsidR="58EC4632" w:rsidP="6805F99C" w:rsidRDefault="58EC4632" w14:paraId="3D629000" w14:textId="01140C57">
      <w:pPr>
        <w:pStyle w:val="ListParagraph"/>
        <w:numPr>
          <w:ilvl w:val="0"/>
          <w:numId w:val="2"/>
        </w:numPr>
        <w:spacing w:before="0" w:beforeAutospacing="off"/>
        <w:rPr>
          <w:rFonts w:ascii="Calibri" w:hAnsi="Calibri" w:eastAsia="Calibri" w:cs="Calibri"/>
          <w:b w:val="0"/>
          <w:bCs w:val="0"/>
          <w:i w:val="0"/>
          <w:iCs w:val="0"/>
          <w:caps w:val="0"/>
          <w:smallCaps w:val="0"/>
          <w:noProof w:val="0"/>
          <w:color w:val="4C4C4C"/>
          <w:sz w:val="24"/>
          <w:szCs w:val="24"/>
          <w:lang w:val="en-ZA"/>
        </w:rPr>
      </w:pPr>
      <w:r w:rsidRPr="6805F99C" w:rsidR="58EC4632">
        <w:rPr>
          <w:rFonts w:ascii="Calibri" w:hAnsi="Calibri" w:eastAsia="Calibri" w:cs="Calibri"/>
          <w:b w:val="1"/>
          <w:bCs w:val="1"/>
          <w:i w:val="0"/>
          <w:iCs w:val="0"/>
          <w:caps w:val="0"/>
          <w:smallCaps w:val="0"/>
          <w:noProof w:val="0"/>
          <w:color w:val="4C4C4C"/>
          <w:sz w:val="24"/>
          <w:szCs w:val="24"/>
          <w:lang w:val="en-ZA"/>
        </w:rPr>
        <w:t>Mixed waste sorting</w:t>
      </w:r>
      <w:r w:rsidRPr="6805F99C" w:rsidR="58EC4632">
        <w:rPr>
          <w:rFonts w:ascii="Calibri" w:hAnsi="Calibri" w:eastAsia="Calibri" w:cs="Calibri"/>
          <w:b w:val="0"/>
          <w:bCs w:val="0"/>
          <w:i w:val="0"/>
          <w:iCs w:val="0"/>
          <w:caps w:val="0"/>
          <w:smallCaps w:val="0"/>
          <w:noProof w:val="0"/>
          <w:color w:val="4C4C4C"/>
          <w:sz w:val="24"/>
          <w:szCs w:val="24"/>
          <w:lang w:val="en-ZA"/>
        </w:rPr>
        <w:t xml:space="preserve"> </w:t>
      </w:r>
      <w:r w:rsidRPr="6805F99C" w:rsidR="58EC4632">
        <w:rPr>
          <w:rFonts w:ascii="Calibri" w:hAnsi="Calibri" w:eastAsia="Calibri" w:cs="Calibri"/>
          <w:b w:val="0"/>
          <w:bCs w:val="0"/>
          <w:i w:val="0"/>
          <w:iCs w:val="0"/>
          <w:caps w:val="0"/>
          <w:smallCaps w:val="0"/>
          <w:noProof w:val="0"/>
          <w:color w:val="4C4C4C"/>
          <w:sz w:val="24"/>
          <w:szCs w:val="24"/>
          <w:lang w:val="en-ZA"/>
        </w:rPr>
        <w:t xml:space="preserve">(MWS) generates </w:t>
      </w:r>
      <w:r w:rsidRPr="6805F99C" w:rsidR="58EC4632">
        <w:rPr>
          <w:rFonts w:ascii="Calibri" w:hAnsi="Calibri" w:eastAsia="Calibri" w:cs="Calibri"/>
          <w:b w:val="0"/>
          <w:bCs w:val="0"/>
          <w:i w:val="0"/>
          <w:iCs w:val="0"/>
          <w:caps w:val="0"/>
          <w:smallCaps w:val="0"/>
          <w:noProof w:val="0"/>
          <w:color w:val="4C4C4C"/>
          <w:sz w:val="24"/>
          <w:szCs w:val="24"/>
          <w:lang w:val="en-ZA"/>
        </w:rPr>
        <w:t>additional</w:t>
      </w:r>
      <w:r w:rsidRPr="6805F99C" w:rsidR="58EC4632">
        <w:rPr>
          <w:rFonts w:ascii="Calibri" w:hAnsi="Calibri" w:eastAsia="Calibri" w:cs="Calibri"/>
          <w:b w:val="0"/>
          <w:bCs w:val="0"/>
          <w:i w:val="0"/>
          <w:iCs w:val="0"/>
          <w:caps w:val="0"/>
          <w:smallCaps w:val="0"/>
          <w:noProof w:val="0"/>
          <w:color w:val="4C4C4C"/>
          <w:sz w:val="24"/>
          <w:szCs w:val="24"/>
          <w:lang w:val="en-ZA"/>
        </w:rPr>
        <w:t xml:space="preserve"> collection and recycling rates </w:t>
      </w:r>
      <w:r w:rsidRPr="6805F99C" w:rsidR="58EC4632">
        <w:rPr>
          <w:rFonts w:ascii="Calibri" w:hAnsi="Calibri" w:eastAsia="Calibri" w:cs="Calibri"/>
          <w:b w:val="0"/>
          <w:bCs w:val="0"/>
          <w:i w:val="0"/>
          <w:iCs w:val="0"/>
          <w:caps w:val="0"/>
          <w:smallCaps w:val="0"/>
          <w:noProof w:val="0"/>
          <w:color w:val="4C4C4C"/>
          <w:sz w:val="24"/>
          <w:szCs w:val="24"/>
          <w:lang w:val="en-ZA"/>
        </w:rPr>
        <w:t>above and beyond</w:t>
      </w:r>
      <w:r w:rsidRPr="6805F99C" w:rsidR="58EC4632">
        <w:rPr>
          <w:rFonts w:ascii="Calibri" w:hAnsi="Calibri" w:eastAsia="Calibri" w:cs="Calibri"/>
          <w:b w:val="0"/>
          <w:bCs w:val="0"/>
          <w:i w:val="0"/>
          <w:iCs w:val="0"/>
          <w:caps w:val="0"/>
          <w:smallCaps w:val="0"/>
          <w:noProof w:val="0"/>
          <w:color w:val="4C4C4C"/>
          <w:sz w:val="24"/>
          <w:szCs w:val="24"/>
          <w:lang w:val="en-ZA"/>
        </w:rPr>
        <w:t xml:space="preserve"> what the other elements can deliver. The incineration or landfilling of plastics and other high carbon materials generate unnecessary GHG emissions. MWS reduces those emissions and returns more materials to the system for incorporation into new products. MWS needs to be considered an investment priority now, as it is a required backstop to ensure waste management systems capture as many resources as possible for recycling.</w:t>
      </w:r>
    </w:p>
    <w:p w:rsidR="6805F99C" w:rsidP="6805F99C" w:rsidRDefault="6805F99C" w14:paraId="3DFAA240" w14:textId="2CF96C72">
      <w:pPr>
        <w:pStyle w:val="Heading3"/>
        <w:rPr>
          <w:rFonts w:ascii="Calibri" w:hAnsi="Calibri" w:eastAsia="Calibri" w:cs="Calibri"/>
          <w:b w:val="1"/>
          <w:bCs w:val="1"/>
          <w:i w:val="0"/>
          <w:iCs w:val="0"/>
          <w:caps w:val="0"/>
          <w:smallCaps w:val="0"/>
          <w:noProof w:val="0"/>
          <w:color w:val="007CAD"/>
          <w:sz w:val="24"/>
          <w:szCs w:val="24"/>
          <w:lang w:val="en-ZA"/>
        </w:rPr>
      </w:pPr>
    </w:p>
    <w:p w:rsidR="58EC4632" w:rsidP="6805F99C" w:rsidRDefault="58EC4632" w14:paraId="573605A3" w14:textId="3AB01CFF">
      <w:pPr>
        <w:pStyle w:val="Heading3"/>
      </w:pPr>
      <w:r w:rsidRPr="6805F99C" w:rsidR="58EC4632">
        <w:rPr>
          <w:rFonts w:ascii="Calibri" w:hAnsi="Calibri" w:eastAsia="Calibri" w:cs="Calibri"/>
          <w:b w:val="1"/>
          <w:bCs w:val="1"/>
          <w:i w:val="0"/>
          <w:iCs w:val="0"/>
          <w:caps w:val="0"/>
          <w:smallCaps w:val="0"/>
          <w:noProof w:val="0"/>
          <w:color w:val="007CAD"/>
          <w:sz w:val="24"/>
          <w:szCs w:val="24"/>
          <w:lang w:val="en-ZA"/>
        </w:rPr>
        <w:t>Best practice DRS – Lithuania</w:t>
      </w:r>
    </w:p>
    <w:p w:rsidR="6805F99C" w:rsidP="6805F99C" w:rsidRDefault="6805F99C" w14:paraId="050D0EDF" w14:textId="2A422D44">
      <w:pPr>
        <w:pStyle w:val="Normal"/>
        <w:rPr>
          <w:noProof w:val="0"/>
          <w:lang w:val="en-ZA"/>
        </w:rPr>
      </w:pPr>
    </w:p>
    <w:p w:rsidR="58EC4632" w:rsidP="6805F99C" w:rsidRDefault="58EC4632" w14:paraId="5C9F352E" w14:textId="2C062101">
      <w:pPr>
        <w:spacing w:before="0" w:beforeAutospacing="off"/>
      </w:pPr>
      <w:r w:rsidRPr="6805F99C" w:rsidR="58EC4632">
        <w:rPr>
          <w:rFonts w:ascii="Calibri" w:hAnsi="Calibri" w:eastAsia="Calibri" w:cs="Calibri"/>
          <w:b w:val="0"/>
          <w:bCs w:val="0"/>
          <w:i w:val="0"/>
          <w:iCs w:val="0"/>
          <w:caps w:val="0"/>
          <w:smallCaps w:val="0"/>
          <w:noProof w:val="0"/>
          <w:color w:val="4C4C4C"/>
          <w:sz w:val="24"/>
          <w:szCs w:val="24"/>
          <w:lang w:val="en-ZA"/>
        </w:rPr>
        <w:t xml:space="preserve">In February 2016, the government of Lithuania implemented a “deposit return system”, to give consumers an incentive to return used beverage containers for recycling. TOMRA supported Lithuania with the implementation of their new container deposit system, launched in February 2016 with a tight ramp-up </w:t>
      </w:r>
      <w:r w:rsidRPr="6805F99C" w:rsidR="58EC4632">
        <w:rPr>
          <w:rFonts w:ascii="Calibri" w:hAnsi="Calibri" w:eastAsia="Calibri" w:cs="Calibri"/>
          <w:b w:val="0"/>
          <w:bCs w:val="0"/>
          <w:i w:val="0"/>
          <w:iCs w:val="0"/>
          <w:caps w:val="0"/>
          <w:smallCaps w:val="0"/>
          <w:noProof w:val="0"/>
          <w:color w:val="4C4C4C"/>
          <w:sz w:val="24"/>
          <w:szCs w:val="24"/>
          <w:lang w:val="en-ZA"/>
        </w:rPr>
        <w:t>timeframe</w:t>
      </w:r>
      <w:r w:rsidRPr="6805F99C" w:rsidR="58EC4632">
        <w:rPr>
          <w:rFonts w:ascii="Calibri" w:hAnsi="Calibri" w:eastAsia="Calibri" w:cs="Calibri"/>
          <w:b w:val="0"/>
          <w:bCs w:val="0"/>
          <w:i w:val="0"/>
          <w:iCs w:val="0"/>
          <w:caps w:val="0"/>
          <w:smallCaps w:val="0"/>
          <w:noProof w:val="0"/>
          <w:color w:val="4C4C4C"/>
          <w:sz w:val="24"/>
          <w:szCs w:val="24"/>
          <w:lang w:val="en-ZA"/>
        </w:rPr>
        <w:t xml:space="preserve">. The roll-out </w:t>
      </w:r>
      <w:r w:rsidRPr="6805F99C" w:rsidR="58EC4632">
        <w:rPr>
          <w:rFonts w:ascii="Calibri" w:hAnsi="Calibri" w:eastAsia="Calibri" w:cs="Calibri"/>
          <w:b w:val="0"/>
          <w:bCs w:val="0"/>
          <w:i w:val="0"/>
          <w:iCs w:val="0"/>
          <w:caps w:val="0"/>
          <w:smallCaps w:val="0"/>
          <w:noProof w:val="0"/>
          <w:color w:val="4C4C4C"/>
          <w:sz w:val="24"/>
          <w:szCs w:val="24"/>
          <w:lang w:val="en-ZA"/>
        </w:rPr>
        <w:t>represented</w:t>
      </w:r>
      <w:r w:rsidRPr="6805F99C" w:rsidR="58EC4632">
        <w:rPr>
          <w:rFonts w:ascii="Calibri" w:hAnsi="Calibri" w:eastAsia="Calibri" w:cs="Calibri"/>
          <w:b w:val="0"/>
          <w:bCs w:val="0"/>
          <w:i w:val="0"/>
          <w:iCs w:val="0"/>
          <w:caps w:val="0"/>
          <w:smallCaps w:val="0"/>
          <w:noProof w:val="0"/>
          <w:color w:val="4C4C4C"/>
          <w:sz w:val="24"/>
          <w:szCs w:val="24"/>
          <w:lang w:val="en-ZA"/>
        </w:rPr>
        <w:t xml:space="preserve"> the first time ever that TOMRA worked with a “throughput” model in Europe. The Lithuanian container deposit scheme has exceeded expectations, with 91.9% of all beverage containers returned for recycling by the end of 2017.</w:t>
      </w:r>
    </w:p>
    <w:p w:rsidR="6805F99C" w:rsidP="6805F99C" w:rsidRDefault="6805F99C" w14:paraId="42A4D838" w14:textId="3CB79389">
      <w:pPr>
        <w:pStyle w:val="Normal"/>
        <w:spacing w:before="0" w:beforeAutospacing="off"/>
        <w:rPr>
          <w:rFonts w:ascii="Calibri" w:hAnsi="Calibri" w:eastAsia="Calibri" w:cs="Calibri"/>
          <w:b w:val="0"/>
          <w:bCs w:val="0"/>
          <w:i w:val="0"/>
          <w:iCs w:val="0"/>
          <w:caps w:val="0"/>
          <w:smallCaps w:val="0"/>
          <w:noProof w:val="0"/>
          <w:color w:val="4C4C4C"/>
          <w:sz w:val="24"/>
          <w:szCs w:val="24"/>
          <w:lang w:val="en-ZA"/>
        </w:rPr>
      </w:pPr>
    </w:p>
    <w:p w:rsidR="58EC4632" w:rsidP="6805F99C" w:rsidRDefault="58EC4632" w14:paraId="5AE701EB" w14:textId="3088D450">
      <w:pPr>
        <w:pStyle w:val="Heading3"/>
      </w:pPr>
      <w:r w:rsidRPr="6805F99C" w:rsidR="58EC4632">
        <w:rPr>
          <w:rFonts w:ascii="Calibri" w:hAnsi="Calibri" w:eastAsia="Calibri" w:cs="Calibri"/>
          <w:b w:val="1"/>
          <w:bCs w:val="1"/>
          <w:i w:val="0"/>
          <w:iCs w:val="0"/>
          <w:caps w:val="0"/>
          <w:smallCaps w:val="0"/>
          <w:noProof w:val="0"/>
          <w:color w:val="007CAD"/>
          <w:sz w:val="24"/>
          <w:szCs w:val="24"/>
          <w:lang w:val="en-ZA"/>
        </w:rPr>
        <w:t>Best practice MWS – IVAR IKS/Stavanger</w:t>
      </w:r>
    </w:p>
    <w:p w:rsidR="6805F99C" w:rsidP="6805F99C" w:rsidRDefault="6805F99C" w14:paraId="7735F1CA" w14:textId="4530F6CC">
      <w:pPr>
        <w:pStyle w:val="Normal"/>
        <w:rPr>
          <w:noProof w:val="0"/>
          <w:lang w:val="en-ZA"/>
        </w:rPr>
      </w:pPr>
    </w:p>
    <w:p w:rsidR="58EC4632" w:rsidP="6805F99C" w:rsidRDefault="58EC4632" w14:paraId="57FE2C33" w14:textId="6ABD9190">
      <w:pPr>
        <w:spacing w:before="0" w:beforeAutospacing="off"/>
      </w:pPr>
      <w:r w:rsidRPr="6805F99C" w:rsidR="58EC4632">
        <w:rPr>
          <w:rFonts w:ascii="Calibri" w:hAnsi="Calibri" w:eastAsia="Calibri" w:cs="Calibri"/>
          <w:b w:val="0"/>
          <w:bCs w:val="0"/>
          <w:i w:val="0"/>
          <w:iCs w:val="0"/>
          <w:caps w:val="0"/>
          <w:smallCaps w:val="0"/>
          <w:noProof w:val="0"/>
          <w:color w:val="4C4C4C"/>
          <w:sz w:val="24"/>
          <w:szCs w:val="24"/>
          <w:lang w:val="en-ZA"/>
        </w:rPr>
        <w:t>An exemplary model of the Holistic Resource Systems framework is in the region surrounding Stavanger, Norway. Before the analysis, the region offered a comprehensive system of separate collections for organic (food and garden) waste, paper, plastic packaging, glass, and textiles. The IVAR IKS system now processes all its residual municipal solid waste in one of the most advanced MWS plants in Europe. The result: a newly constructed, fully automated mixed waste sorting plant, including brand new facilities for plastics reprocessing and paper sorting.</w:t>
      </w:r>
    </w:p>
    <w:p w:rsidR="58EC4632" w:rsidP="6805F99C" w:rsidRDefault="58EC4632" w14:paraId="4D5EB62D" w14:textId="601A0532">
      <w:pPr>
        <w:spacing w:before="0" w:beforeAutospacing="off"/>
      </w:pPr>
      <w:r w:rsidRPr="6805F99C" w:rsidR="58EC4632">
        <w:rPr>
          <w:rFonts w:ascii="Calibri" w:hAnsi="Calibri" w:eastAsia="Calibri" w:cs="Calibri"/>
          <w:b w:val="0"/>
          <w:bCs w:val="0"/>
          <w:i w:val="0"/>
          <w:iCs w:val="0"/>
          <w:caps w:val="0"/>
          <w:smallCaps w:val="0"/>
          <w:noProof w:val="0"/>
          <w:color w:val="4C4C4C"/>
          <w:sz w:val="24"/>
          <w:szCs w:val="24"/>
          <w:lang w:val="en-ZA"/>
        </w:rPr>
        <w:t>IVAR IKS achieved significant improvements in the overall recycling rates, with plastics and metals recovery being most notable in reducing climate change emissions. The implemented system changes including mixed waste sorting has resulted in class leading recycling rates. As of 2021, the IVAR IKS ranks 1st in Norway in post-consumer plastic packaging collection rates.</w:t>
      </w:r>
    </w:p>
    <w:p w:rsidR="6805F99C" w:rsidP="6805F99C" w:rsidRDefault="6805F99C" w14:paraId="3811CE83" w14:textId="632147B9">
      <w:pPr>
        <w:pStyle w:val="Normal"/>
        <w:spacing w:before="0" w:beforeAutospacing="off"/>
        <w:rPr>
          <w:rFonts w:ascii="Calibri" w:hAnsi="Calibri" w:eastAsia="Calibri" w:cs="Calibri"/>
          <w:b w:val="0"/>
          <w:bCs w:val="0"/>
          <w:i w:val="0"/>
          <w:iCs w:val="0"/>
          <w:caps w:val="0"/>
          <w:smallCaps w:val="0"/>
          <w:noProof w:val="0"/>
          <w:color w:val="4C4C4C"/>
          <w:sz w:val="24"/>
          <w:szCs w:val="24"/>
          <w:lang w:val="en-ZA"/>
        </w:rPr>
      </w:pPr>
    </w:p>
    <w:p w:rsidR="6805F99C" w:rsidP="6805F99C" w:rsidRDefault="6805F99C" w14:paraId="41586030" w14:textId="16064BCD">
      <w:pPr>
        <w:pStyle w:val="Normal"/>
        <w:spacing w:before="0" w:beforeAutospacing="off"/>
        <w:rPr>
          <w:rFonts w:ascii="Calibri" w:hAnsi="Calibri" w:eastAsia="Calibri" w:cs="Calibri"/>
          <w:b w:val="0"/>
          <w:bCs w:val="0"/>
          <w:i w:val="0"/>
          <w:iCs w:val="0"/>
          <w:caps w:val="0"/>
          <w:smallCaps w:val="0"/>
          <w:noProof w:val="0"/>
          <w:color w:val="4C4C4C"/>
          <w:sz w:val="24"/>
          <w:szCs w:val="24"/>
          <w:lang w:val="en-ZA"/>
        </w:rPr>
      </w:pPr>
    </w:p>
    <w:p w:rsidR="6805F99C" w:rsidP="6805F99C" w:rsidRDefault="6805F99C" w14:paraId="53DCCDD2" w14:textId="28CE993E">
      <w:pPr>
        <w:pStyle w:val="Normal"/>
        <w:spacing w:before="0" w:beforeAutospacing="off"/>
        <w:rPr>
          <w:rFonts w:ascii="Calibri" w:hAnsi="Calibri" w:eastAsia="Calibri" w:cs="Calibri"/>
          <w:b w:val="0"/>
          <w:bCs w:val="0"/>
          <w:i w:val="0"/>
          <w:iCs w:val="0"/>
          <w:caps w:val="0"/>
          <w:smallCaps w:val="0"/>
          <w:noProof w:val="0"/>
          <w:color w:val="4C4C4C"/>
          <w:sz w:val="24"/>
          <w:szCs w:val="24"/>
          <w:lang w:val="en-ZA"/>
        </w:rPr>
      </w:pPr>
    </w:p>
    <w:p w:rsidR="58EC4632" w:rsidP="6805F99C" w:rsidRDefault="58EC4632" w14:paraId="3BC3B2B3" w14:textId="13B96426">
      <w:pPr>
        <w:pStyle w:val="Normal"/>
        <w:spacing w:before="0" w:beforeAutospacing="off"/>
        <w:rPr>
          <w:rFonts w:ascii="Calibri" w:hAnsi="Calibri" w:eastAsia="Calibri" w:cs="Calibri"/>
          <w:b w:val="1"/>
          <w:bCs w:val="1"/>
          <w:i w:val="0"/>
          <w:iCs w:val="0"/>
          <w:caps w:val="0"/>
          <w:smallCaps w:val="0"/>
          <w:noProof w:val="0"/>
          <w:color w:val="4C4C4C"/>
          <w:sz w:val="24"/>
          <w:szCs w:val="24"/>
          <w:lang w:val="en-ZA"/>
        </w:rPr>
      </w:pPr>
      <w:r w:rsidRPr="6805F99C" w:rsidR="58EC4632">
        <w:rPr>
          <w:rFonts w:ascii="Calibri" w:hAnsi="Calibri" w:eastAsia="Calibri" w:cs="Calibri"/>
          <w:b w:val="1"/>
          <w:bCs w:val="1"/>
          <w:i w:val="0"/>
          <w:iCs w:val="0"/>
          <w:caps w:val="0"/>
          <w:smallCaps w:val="0"/>
          <w:noProof w:val="0"/>
          <w:color w:val="4C4C4C"/>
          <w:sz w:val="24"/>
          <w:szCs w:val="24"/>
          <w:lang w:val="en-ZA"/>
        </w:rPr>
        <w:t>Media Contacts:</w:t>
      </w:r>
      <w:r>
        <w:br/>
      </w:r>
    </w:p>
    <w:p w:rsidR="58EC4632" w:rsidP="6805F99C" w:rsidRDefault="58EC4632" w14:paraId="06149035" w14:textId="3669D87D">
      <w:pPr>
        <w:spacing w:before="0" w:beforeAutospacing="off"/>
        <w:rPr>
          <w:b w:val="0"/>
          <w:bCs w:val="0"/>
        </w:rPr>
      </w:pPr>
      <w:r w:rsidRPr="6805F99C" w:rsidR="58EC4632">
        <w:rPr>
          <w:rFonts w:ascii="Calibri" w:hAnsi="Calibri" w:eastAsia="Calibri" w:cs="Calibri"/>
          <w:b w:val="0"/>
          <w:bCs w:val="0"/>
          <w:i w:val="0"/>
          <w:iCs w:val="0"/>
          <w:caps w:val="0"/>
          <w:smallCaps w:val="0"/>
          <w:noProof w:val="0"/>
          <w:color w:val="4C4C4C"/>
          <w:sz w:val="24"/>
          <w:szCs w:val="24"/>
          <w:lang w:val="en-ZA"/>
        </w:rPr>
        <w:t>Mithu Mohren</w:t>
      </w:r>
      <w:r>
        <w:br/>
      </w:r>
      <w:r w:rsidRPr="6805F99C" w:rsidR="58EC4632">
        <w:rPr>
          <w:rFonts w:ascii="Calibri" w:hAnsi="Calibri" w:eastAsia="Calibri" w:cs="Calibri"/>
          <w:b w:val="0"/>
          <w:bCs w:val="0"/>
          <w:i w:val="0"/>
          <w:iCs w:val="0"/>
          <w:caps w:val="0"/>
          <w:smallCaps w:val="0"/>
          <w:noProof w:val="0"/>
          <w:color w:val="4C4C4C"/>
          <w:sz w:val="24"/>
          <w:szCs w:val="24"/>
          <w:lang w:val="en-ZA"/>
        </w:rPr>
        <w:t>Phone: +49 2630 9150 450</w:t>
      </w:r>
      <w:r>
        <w:br/>
      </w:r>
      <w:r w:rsidRPr="6805F99C" w:rsidR="58EC4632">
        <w:rPr>
          <w:rFonts w:ascii="Calibri" w:hAnsi="Calibri" w:eastAsia="Calibri" w:cs="Calibri"/>
          <w:b w:val="0"/>
          <w:bCs w:val="0"/>
          <w:i w:val="0"/>
          <w:iCs w:val="0"/>
          <w:caps w:val="0"/>
          <w:smallCaps w:val="0"/>
          <w:noProof w:val="0"/>
          <w:color w:val="4C4C4C"/>
          <w:sz w:val="24"/>
          <w:szCs w:val="24"/>
          <w:lang w:val="en-ZA"/>
        </w:rPr>
        <w:t>Email:</w:t>
      </w:r>
      <w:r w:rsidRPr="6805F99C" w:rsidR="58EC4632">
        <w:rPr>
          <w:rFonts w:ascii="Calibri" w:hAnsi="Calibri" w:eastAsia="Calibri" w:cs="Calibri"/>
          <w:b w:val="0"/>
          <w:bCs w:val="0"/>
          <w:i w:val="0"/>
          <w:iCs w:val="0"/>
          <w:caps w:val="0"/>
          <w:smallCaps w:val="0"/>
          <w:noProof w:val="0"/>
          <w:color w:val="4C4C4C"/>
          <w:sz w:val="24"/>
          <w:szCs w:val="24"/>
          <w:lang w:val="en-ZA"/>
        </w:rPr>
        <w:t xml:space="preserve"> </w:t>
      </w:r>
      <w:hyperlink r:id="Rd5b00fa4c78a4e39">
        <w:r w:rsidRPr="6805F99C" w:rsidR="58EC4632">
          <w:rPr>
            <w:rStyle w:val="Hyperlink"/>
            <w:rFonts w:ascii="Calibri" w:hAnsi="Calibri" w:eastAsia="Calibri" w:cs="Calibri"/>
            <w:b w:val="0"/>
            <w:bCs w:val="0"/>
            <w:i w:val="0"/>
            <w:iCs w:val="0"/>
            <w:caps w:val="0"/>
            <w:smallCaps w:val="0"/>
            <w:noProof w:val="0"/>
            <w:sz w:val="24"/>
            <w:szCs w:val="24"/>
            <w:lang w:val="en-ZA"/>
          </w:rPr>
          <w:t>Mithu.Mohren@tomra.com</w:t>
        </w:r>
      </w:hyperlink>
    </w:p>
    <w:p w:rsidR="58EC4632" w:rsidP="6805F99C" w:rsidRDefault="58EC4632" w14:paraId="649969EA" w14:textId="64E14D51">
      <w:pPr>
        <w:spacing w:before="0" w:beforeAutospacing="off" w:after="0" w:afterAutospacing="off"/>
      </w:pPr>
      <w:r w:rsidRPr="6805F99C" w:rsidR="58EC4632">
        <w:rPr>
          <w:rFonts w:ascii="Calibri" w:hAnsi="Calibri" w:eastAsia="Calibri" w:cs="Calibri"/>
          <w:b w:val="0"/>
          <w:bCs w:val="0"/>
          <w:i w:val="0"/>
          <w:iCs w:val="0"/>
          <w:caps w:val="0"/>
          <w:smallCaps w:val="0"/>
          <w:noProof w:val="0"/>
          <w:color w:val="4C4C4C"/>
          <w:sz w:val="24"/>
          <w:szCs w:val="24"/>
          <w:lang w:val="en-ZA"/>
        </w:rPr>
        <w:t>Claudia Fasse</w:t>
      </w:r>
      <w:r>
        <w:br/>
      </w:r>
      <w:r w:rsidRPr="6805F99C" w:rsidR="58EC4632">
        <w:rPr>
          <w:rFonts w:ascii="Calibri" w:hAnsi="Calibri" w:eastAsia="Calibri" w:cs="Calibri"/>
          <w:b w:val="0"/>
          <w:bCs w:val="0"/>
          <w:i w:val="0"/>
          <w:iCs w:val="0"/>
          <w:caps w:val="0"/>
          <w:smallCaps w:val="0"/>
          <w:noProof w:val="0"/>
          <w:color w:val="4C4C4C"/>
          <w:sz w:val="24"/>
          <w:szCs w:val="24"/>
          <w:lang w:val="en-ZA"/>
        </w:rPr>
        <w:t>Phone: +49 172 210 89 04</w:t>
      </w:r>
      <w:r>
        <w:br/>
      </w:r>
      <w:r w:rsidRPr="6805F99C" w:rsidR="58EC4632">
        <w:rPr>
          <w:rFonts w:ascii="Calibri" w:hAnsi="Calibri" w:eastAsia="Calibri" w:cs="Calibri"/>
          <w:b w:val="0"/>
          <w:bCs w:val="0"/>
          <w:i w:val="0"/>
          <w:iCs w:val="0"/>
          <w:caps w:val="0"/>
          <w:smallCaps w:val="0"/>
          <w:noProof w:val="0"/>
          <w:color w:val="4C4C4C"/>
          <w:sz w:val="24"/>
          <w:szCs w:val="24"/>
          <w:lang w:val="en-ZA"/>
        </w:rPr>
        <w:t>Email:</w:t>
      </w:r>
      <w:r w:rsidRPr="6805F99C" w:rsidR="58EC4632">
        <w:rPr>
          <w:rFonts w:ascii="Calibri" w:hAnsi="Calibri" w:eastAsia="Calibri" w:cs="Calibri"/>
          <w:b w:val="0"/>
          <w:bCs w:val="0"/>
          <w:i w:val="0"/>
          <w:iCs w:val="0"/>
          <w:caps w:val="0"/>
          <w:smallCaps w:val="0"/>
          <w:noProof w:val="0"/>
          <w:color w:val="4C4C4C"/>
          <w:sz w:val="24"/>
          <w:szCs w:val="24"/>
          <w:lang w:val="en-ZA"/>
        </w:rPr>
        <w:t xml:space="preserve"> </w:t>
      </w:r>
      <w:hyperlink r:id="R42f4ff2b4edf45a3">
        <w:r w:rsidRPr="6805F99C" w:rsidR="58EC4632">
          <w:rPr>
            <w:rStyle w:val="Hyperlink"/>
            <w:rFonts w:ascii="Calibri" w:hAnsi="Calibri" w:eastAsia="Calibri" w:cs="Calibri"/>
            <w:b w:val="0"/>
            <w:bCs w:val="0"/>
            <w:i w:val="0"/>
            <w:iCs w:val="0"/>
            <w:caps w:val="0"/>
            <w:smallCaps w:val="0"/>
            <w:noProof w:val="0"/>
            <w:sz w:val="24"/>
            <w:szCs w:val="24"/>
            <w:lang w:val="en-ZA"/>
          </w:rPr>
          <w:t>fasse@fasse-bieger.de</w:t>
        </w:r>
      </w:hyperlink>
    </w:p>
    <w:p w:rsidR="6805F99C" w:rsidP="6805F99C" w:rsidRDefault="6805F99C" w14:paraId="79CA79A7" w14:textId="665AC0CE">
      <w:pPr>
        <w:pStyle w:val="Normal"/>
        <w:rPr>
          <w:lang w:val="en-ZA"/>
        </w:rPr>
      </w:pPr>
    </w:p>
    <w:sectPr w:rsidRPr="00FC6CD6" w:rsidR="002E4954">
      <w:pgSz w:w="11906" w:h="16838" w:orient="portrait"/>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2">
    <w:nsid w:val="b51ecb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1e62f9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954"/>
    <w:rsid w:val="0014366F"/>
    <w:rsid w:val="00194F36"/>
    <w:rsid w:val="002E4954"/>
    <w:rsid w:val="00794127"/>
    <w:rsid w:val="00826A6E"/>
    <w:rsid w:val="00B5437D"/>
    <w:rsid w:val="00B77FEA"/>
    <w:rsid w:val="00CC7D50"/>
    <w:rsid w:val="00E54BCA"/>
    <w:rsid w:val="00FC6CD6"/>
    <w:rsid w:val="1B5D900F"/>
    <w:rsid w:val="1E668A72"/>
    <w:rsid w:val="1EF2212D"/>
    <w:rsid w:val="2448EEB4"/>
    <w:rsid w:val="287FDB16"/>
    <w:rsid w:val="2BB77BD8"/>
    <w:rsid w:val="43C776B0"/>
    <w:rsid w:val="4D6E58F6"/>
    <w:rsid w:val="58EC4632"/>
    <w:rsid w:val="5E5F1756"/>
    <w:rsid w:val="6805F99C"/>
    <w:rsid w:val="6DCD2DB2"/>
    <w:rsid w:val="7A8CCE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B0BBF"/>
  <w15:chartTrackingRefBased/>
  <w15:docId w15:val="{C23C7DFC-5716-4D2C-BF39-0E52B5FDE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826A6E"/>
    <w:rPr>
      <w:color w:val="0563C1" w:themeColor="hyperlink"/>
      <w:u w:val="single"/>
    </w:rPr>
  </w:style>
  <w:style w:type="character" w:styleId="UnresolvedMention">
    <w:name w:val="Unresolved Mention"/>
    <w:basedOn w:val="DefaultParagraphFont"/>
    <w:uiPriority w:val="99"/>
    <w:semiHidden/>
    <w:unhideWhenUsed/>
    <w:rsid w:val="00826A6E"/>
    <w:rPr>
      <w:color w:val="605E5C"/>
      <w:shd w:val="clear" w:color="auto" w:fill="E1DFDD"/>
    </w:rPr>
  </w:style>
  <w:style xmlns:w14="http://schemas.microsoft.com/office/word/2010/wordml" xmlns:mc="http://schemas.openxmlformats.org/markup-compatibility/2006" xmlns:w="http://schemas.openxmlformats.org/wordprocessingml/2006/main" w:type="character" w:styleId="Heading1Char" w:customStyle="1" mc:Ignorable="w14">
    <w:name xmlns:w="http://schemas.openxmlformats.org/wordprocessingml/2006/main" w:val="Heading 1 Char"/>
    <w:basedOn xmlns:w="http://schemas.openxmlformats.org/wordprocessingml/2006/main" w:val="DefaultParagraphFont"/>
    <w:link xmlns:w="http://schemas.openxmlformats.org/wordprocessingml/2006/main" w:val="Heading1"/>
    <w:uiPriority xmlns:w="http://schemas.openxmlformats.org/wordprocessingml/2006/main" w:val="9"/>
    <w:rPr xmlns:w="http://schemas.openxmlformats.org/wordprocessingml/2006/main">
      <w:rFonts w:asciiTheme="majorHAnsi" w:hAnsiTheme="majorHAnsi" w:eastAsiaTheme="majorEastAsia" w:cstheme="majorBidi"/>
      <w:color w:val="2E74B5" w:themeColor="accent1" w:themeShade="BF"/>
      <w:sz w:val="32"/>
      <w:szCs w:val="32"/>
    </w:rPr>
  </w:style>
  <w:style xmlns:w14="http://schemas.microsoft.com/office/word/2010/wordml" xmlns:mc="http://schemas.openxmlformats.org/markup-compatibility/2006" xmlns:w="http://schemas.openxmlformats.org/wordprocessingml/2006/main" w:type="paragraph" w:styleId="Heading1" mc:Ignorable="w14">
    <w:name xmlns:w="http://schemas.openxmlformats.org/wordprocessingml/2006/main" w:val="heading 1"/>
    <w:basedOn xmlns:w="http://schemas.openxmlformats.org/wordprocessingml/2006/main" w:val="Normal"/>
    <w:next xmlns:w="http://schemas.openxmlformats.org/wordprocessingml/2006/main" w:val="Normal"/>
    <w:link xmlns:w="http://schemas.openxmlformats.org/wordprocessingml/2006/main" w:val="Heading1Char"/>
    <w:uiPriority xmlns:w="http://schemas.openxmlformats.org/wordprocessingml/2006/main" w:val="9"/>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240" w:after="0"/>
      <w:outlineLvl xmlns:w="http://schemas.openxmlformats.org/wordprocessingml/2006/main" w:val="0"/>
    </w:pPr>
    <w:rPr xmlns:w="http://schemas.openxmlformats.org/wordprocessingml/2006/main">
      <w:rFonts w:asciiTheme="majorHAnsi" w:hAnsiTheme="majorHAnsi" w:eastAsiaTheme="majorEastAsia" w:cstheme="majorBidi"/>
      <w:color w:val="2E74B5" w:themeColor="accent1" w:themeShade="BF"/>
      <w:sz w:val="32"/>
      <w:szCs w:val="32"/>
    </w:rPr>
  </w:style>
  <w:style xmlns:w14="http://schemas.microsoft.com/office/word/2010/wordml" xmlns:mc="http://schemas.openxmlformats.org/markup-compatibility/2006" xmlns:w="http://schemas.openxmlformats.org/wordprocessingml/2006/main" w:type="character" w:styleId="Heading3Char" w:customStyle="1" mc:Ignorable="w14">
    <w:name xmlns:w="http://schemas.openxmlformats.org/wordprocessingml/2006/main" w:val="Heading 3 Char"/>
    <w:basedOn xmlns:w="http://schemas.openxmlformats.org/wordprocessingml/2006/main" w:val="DefaultParagraphFont"/>
    <w:link xmlns:w="http://schemas.openxmlformats.org/wordprocessingml/2006/main" w:val="Heading3"/>
    <w:uiPriority xmlns:w="http://schemas.openxmlformats.org/wordprocessingml/2006/main" w:val="9"/>
    <w:rPr xmlns:w="http://schemas.openxmlformats.org/wordprocessingml/2006/main">
      <w:rFonts w:asciiTheme="majorHAnsi" w:hAnsiTheme="majorHAnsi" w:eastAsiaTheme="majorEastAsia" w:cstheme="majorBidi"/>
      <w:color w:val="1F4D78" w:themeColor="accent1" w:themeShade="7F"/>
      <w:sz w:val="24"/>
      <w:szCs w:val="24"/>
    </w:rPr>
  </w:style>
  <w:style xmlns:w14="http://schemas.microsoft.com/office/word/2010/wordml" xmlns:mc="http://schemas.openxmlformats.org/markup-compatibility/2006" xmlns:w="http://schemas.openxmlformats.org/wordprocessingml/2006/main" w:type="paragraph" w:styleId="Heading3" mc:Ignorable="w14">
    <w:name xmlns:w="http://schemas.openxmlformats.org/wordprocessingml/2006/main" w:val="heading 3"/>
    <w:basedOn xmlns:w="http://schemas.openxmlformats.org/wordprocessingml/2006/main" w:val="Normal"/>
    <w:next xmlns:w="http://schemas.openxmlformats.org/wordprocessingml/2006/main" w:val="Normal"/>
    <w:link xmlns:w="http://schemas.openxmlformats.org/wordprocessingml/2006/main" w:val="Heading3Char"/>
    <w:uiPriority xmlns:w="http://schemas.openxmlformats.org/wordprocessingml/2006/main" w:val="9"/>
    <w:unhideWhenUsed xmlns:w="http://schemas.openxmlformats.org/wordprocessingml/2006/main"/>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40" w:after="0"/>
      <w:outlineLvl xmlns:w="http://schemas.openxmlformats.org/wordprocessingml/2006/main" w:val="2"/>
    </w:pPr>
    <w:rPr xmlns:w="http://schemas.openxmlformats.org/wordprocessingml/2006/main">
      <w:rFonts w:asciiTheme="majorHAnsi" w:hAnsiTheme="majorHAnsi" w:eastAsiaTheme="majorEastAsia" w:cstheme="majorBidi"/>
      <w:color w:val="1F4D78" w:themeColor="accent1" w:themeShade="7F"/>
      <w:sz w:val="24"/>
      <w:szCs w:val="24"/>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5959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webSettings" Target="webSettings.xml" Id="rId3" /><Relationship Type="http://schemas.openxmlformats.org/officeDocument/2006/relationships/customXml" Target="../customXml/item1.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customXml" Target="../customXml/item3.xml" Id="rId9" /><Relationship Type="http://schemas.openxmlformats.org/officeDocument/2006/relationships/hyperlink" Target="https://www.tomra.com/news-and-media/news/2021/waste-management-contributes-to-climate-protection" TargetMode="External" Id="R6c074cb49f4b43e2" /><Relationship Type="http://schemas.openxmlformats.org/officeDocument/2006/relationships/hyperlink" Target="mailto:Mithu.Mohren@tomra.com" TargetMode="External" Id="Rd5b00fa4c78a4e39" /><Relationship Type="http://schemas.openxmlformats.org/officeDocument/2006/relationships/hyperlink" Target="mailto:fasse@fasse-bieger.de" TargetMode="External" Id="R42f4ff2b4edf45a3" /><Relationship Type="http://schemas.openxmlformats.org/officeDocument/2006/relationships/numbering" Target="numbering.xml" Id="R9fe91be27030470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07D7C995468C4FBAFDDE5CFB57123C" ma:contentTypeVersion="21" ma:contentTypeDescription="Create a new document." ma:contentTypeScope="" ma:versionID="d37a28e49c12d07cdf0e87043f543eb4">
  <xsd:schema xmlns:xsd="http://www.w3.org/2001/XMLSchema" xmlns:xs="http://www.w3.org/2001/XMLSchema" xmlns:p="http://schemas.microsoft.com/office/2006/metadata/properties" xmlns:ns2="334794eb-591f-4b79-83b3-8812edd404e9" xmlns:ns3="82452e67-0742-48c6-945c-cc71462b3c3b" targetNamespace="http://schemas.microsoft.com/office/2006/metadata/properties" ma:root="true" ma:fieldsID="127ef77f600bfd647c24f4839a19fdf2" ns2:_="" ns3:_="">
    <xsd:import namespace="334794eb-591f-4b79-83b3-8812edd404e9"/>
    <xsd:import namespace="82452e67-0742-48c6-945c-cc71462b3c3b"/>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Flow_SignoffStatus" minOccurs="0"/>
                <xsd:element ref="ns3:SharedWithUsers" minOccurs="0"/>
                <xsd:element ref="ns3:SharedWithDetails" minOccurs="0"/>
                <xsd:element ref="ns2:TypeofProject" minOccurs="0"/>
                <xsd:element ref="ns2:Plannedfor" minOccurs="0"/>
                <xsd:element ref="ns2:Status" minOccurs="0"/>
                <xsd:element ref="ns2:Roadmap" minOccurs="0"/>
                <xsd:element ref="ns2:Category" minOccurs="0"/>
                <xsd:element ref="ns2:MediaServiceLocation" minOccurs="0"/>
                <xsd:element ref="ns2:Prepared"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4794eb-591f-4b79-83b3-8812edd404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9e8762e-1626-4d03-8257-c0a84530f76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TypeofProject" ma:index="21" nillable="true" ma:displayName="Type of Project" ma:format="Dropdown" ma:internalName="TypeofProject">
      <xsd:simpleType>
        <xsd:restriction base="dms:Choice">
          <xsd:enumeration value="Blue Book"/>
          <xsd:enumeration value="Events &amp; Conferences"/>
          <xsd:enumeration value="Factsheets"/>
          <xsd:enumeration value="Infographics"/>
          <xsd:enumeration value="Media Pack"/>
          <xsd:enumeration value="Newsletter"/>
          <xsd:enumeration value="PPT"/>
          <xsd:enumeration value="Video"/>
          <xsd:enumeration value="Webcast"/>
          <xsd:enumeration value="Whitepaper"/>
        </xsd:restriction>
      </xsd:simpleType>
    </xsd:element>
    <xsd:element name="Plannedfor" ma:index="22" nillable="true" ma:displayName="Starting on" ma:description="month of the year" ma:format="Dropdown" ma:internalName="Plannedfor">
      <xsd:simpleType>
        <xsd:restriction base="dms:Text">
          <xsd:maxLength value="255"/>
        </xsd:restriction>
      </xsd:simpleType>
    </xsd:element>
    <xsd:element name="Status" ma:index="23" nillable="true" ma:displayName="Status" ma:format="Dropdown" ma:internalName="Status">
      <xsd:simpleType>
        <xsd:restriction base="dms:Choice">
          <xsd:enumeration value="On time"/>
          <xsd:enumeration value="Delayed"/>
          <xsd:enumeration value="Completed"/>
        </xsd:restriction>
      </xsd:simpleType>
    </xsd:element>
    <xsd:element name="Roadmap" ma:index="24" nillable="true" ma:displayName="Roadmap" ma:format="Dropdown" ma:internalName="Roadmap">
      <xsd:simpleType>
        <xsd:restriction base="dms:Choice">
          <xsd:enumeration value="External"/>
          <xsd:enumeration value="MarCom"/>
          <xsd:enumeration value="Internal"/>
        </xsd:restriction>
      </xsd:simpleType>
    </xsd:element>
    <xsd:element name="Category" ma:index="25" nillable="true" ma:displayName="Category" ma:format="Dropdown" ma:internalName="Category">
      <xsd:simpleType>
        <xsd:restriction base="dms:Text">
          <xsd:maxLength value="255"/>
        </xsd:restriction>
      </xsd:simpleType>
    </xsd:element>
    <xsd:element name="MediaServiceLocation" ma:index="26" nillable="true" ma:displayName="Location" ma:indexed="true" ma:internalName="MediaServiceLocation" ma:readOnly="true">
      <xsd:simpleType>
        <xsd:restriction base="dms:Text"/>
      </xsd:simpleType>
    </xsd:element>
    <xsd:element name="Prepared" ma:index="27" nillable="true" ma:displayName="Prepared" ma:default="0" ma:format="Dropdown" ma:internalName="Prepared">
      <xsd:simpleType>
        <xsd:restriction base="dms:Boolea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452e67-0742-48c6-945c-cc71462b3c3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60d0655-96cf-41ab-8dc2-190cdbca5602}" ma:internalName="TaxCatchAll" ma:showField="CatchAllData" ma:web="82452e67-0742-48c6-945c-cc71462b3c3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34794eb-591f-4b79-83b3-8812edd404e9">
      <Terms xmlns="http://schemas.microsoft.com/office/infopath/2007/PartnerControls"/>
    </lcf76f155ced4ddcb4097134ff3c332f>
    <Prepared xmlns="334794eb-591f-4b79-83b3-8812edd404e9">false</Prepared>
    <Roadmap xmlns="334794eb-591f-4b79-83b3-8812edd404e9" xsi:nil="true"/>
    <TaxCatchAll xmlns="82452e67-0742-48c6-945c-cc71462b3c3b" xsi:nil="true"/>
    <Plannedfor xmlns="334794eb-591f-4b79-83b3-8812edd404e9" xsi:nil="true"/>
    <TypeofProject xmlns="334794eb-591f-4b79-83b3-8812edd404e9" xsi:nil="true"/>
    <Status xmlns="334794eb-591f-4b79-83b3-8812edd404e9" xsi:nil="true"/>
    <_Flow_SignoffStatus xmlns="334794eb-591f-4b79-83b3-8812edd404e9" xsi:nil="true"/>
    <Category xmlns="334794eb-591f-4b79-83b3-8812edd404e9" xsi:nil="true"/>
  </documentManagement>
</p:properties>
</file>

<file path=customXml/itemProps1.xml><?xml version="1.0" encoding="utf-8"?>
<ds:datastoreItem xmlns:ds="http://schemas.openxmlformats.org/officeDocument/2006/customXml" ds:itemID="{B9A493C0-B506-49C9-972A-3757BB9A718A}"/>
</file>

<file path=customXml/itemProps2.xml><?xml version="1.0" encoding="utf-8"?>
<ds:datastoreItem xmlns:ds="http://schemas.openxmlformats.org/officeDocument/2006/customXml" ds:itemID="{462B4209-EA04-4A58-A911-ADDAD95CA7C1}"/>
</file>

<file path=customXml/itemProps3.xml><?xml version="1.0" encoding="utf-8"?>
<ds:datastoreItem xmlns:ds="http://schemas.openxmlformats.org/officeDocument/2006/customXml" ds:itemID="{8E309EE8-BB77-4D92-98B0-0721713F341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Candice Reichlin</dc:creator>
  <cp:keywords/>
  <dc:description/>
  <cp:lastModifiedBy>Franciele Machado</cp:lastModifiedBy>
  <cp:revision>4</cp:revision>
  <dcterms:created xsi:type="dcterms:W3CDTF">2023-07-14T10:18:00Z</dcterms:created>
  <dcterms:modified xsi:type="dcterms:W3CDTF">2023-07-19T13:04:16Z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0x0101004D07D7C995468C4FBAFDDE5CFB57123C</vt:lpwstr>
  </property>
  <property fmtid="{D5CDD505-2E9C-101B-9397-08002B2CF9AE}" pid="3" name="MediaServiceImageTags">
    <vt:lpwstr/>
  </property>
</Properties>
</file>